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28" w:rsidRPr="00A500D5" w:rsidRDefault="00A500D5">
      <w:pPr>
        <w:jc w:val="center"/>
        <w:rPr>
          <w:rFonts w:ascii="Times New Roman" w:hAnsi="Times New Roman" w:cs="Times New Roman"/>
          <w:b/>
          <w:bCs/>
          <w:sz w:val="56"/>
          <w:szCs w:val="72"/>
          <w:lang w:val="uk-UA"/>
        </w:rPr>
      </w:pPr>
      <w:r w:rsidRPr="00A500D5">
        <w:rPr>
          <w:rFonts w:ascii="SimSun" w:eastAsia="SimSun" w:hAnsi="SimSun" w:cs="SimSun"/>
          <w:b/>
          <w:bCs/>
          <w:noProof/>
          <w:sz w:val="40"/>
          <w:szCs w:val="44"/>
          <w:lang w:eastAsia="en-US"/>
        </w:rPr>
        <w:drawing>
          <wp:anchor distT="0" distB="0" distL="114300" distR="114300" simplePos="0" relativeHeight="251659264" behindDoc="1" locked="0" layoutInCell="1" allowOverlap="1" wp14:anchorId="6B8AB175" wp14:editId="42C6CCA4">
            <wp:simplePos x="0" y="0"/>
            <wp:positionH relativeFrom="column">
              <wp:posOffset>-586105</wp:posOffset>
            </wp:positionH>
            <wp:positionV relativeFrom="paragraph">
              <wp:posOffset>523875</wp:posOffset>
            </wp:positionV>
            <wp:extent cx="9914255" cy="4808220"/>
            <wp:effectExtent l="0" t="0" r="10795" b="0"/>
            <wp:wrapTight wrapText="bothSides">
              <wp:wrapPolygon edited="0">
                <wp:start x="0" y="0"/>
                <wp:lineTo x="0" y="21480"/>
                <wp:lineTo x="21541" y="21480"/>
                <wp:lineTo x="21541" y="0"/>
                <wp:lineTo x="0" y="0"/>
              </wp:wrapPolygon>
            </wp:wrapTight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14255" cy="4808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A500D5">
        <w:rPr>
          <w:rFonts w:ascii="Times New Roman" w:hAnsi="Times New Roman" w:cs="Times New Roman"/>
          <w:b/>
          <w:bCs/>
          <w:sz w:val="56"/>
          <w:szCs w:val="72"/>
          <w:lang w:val="uk-UA"/>
        </w:rPr>
        <w:t>Результати опитування</w:t>
      </w:r>
      <w:bookmarkStart w:id="0" w:name="_GoBack"/>
      <w:bookmarkEnd w:id="0"/>
    </w:p>
    <w:p w:rsidR="00DC3128" w:rsidRDefault="00A500D5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9152890" cy="5079365"/>
            <wp:effectExtent l="0" t="0" r="10160" b="6985"/>
            <wp:docPr id="4" name="Picture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2890" cy="5079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C3128" w:rsidRDefault="00A500D5">
      <w:pPr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152400</wp:posOffset>
            </wp:positionV>
            <wp:extent cx="10086340" cy="4535170"/>
            <wp:effectExtent l="0" t="0" r="10160" b="17780"/>
            <wp:wrapTight wrapText="bothSides">
              <wp:wrapPolygon edited="0">
                <wp:start x="0" y="0"/>
                <wp:lineTo x="0" y="21503"/>
                <wp:lineTo x="21540" y="21503"/>
                <wp:lineTo x="21540" y="0"/>
                <wp:lineTo x="0" y="0"/>
              </wp:wrapPolygon>
            </wp:wrapTight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86340" cy="4535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DC3128" w:rsidRDefault="00DC3128">
      <w:pPr>
        <w:jc w:val="both"/>
        <w:rPr>
          <w:rFonts w:ascii="SimSun" w:eastAsia="SimSun" w:hAnsi="SimSun" w:cs="SimSun"/>
          <w:sz w:val="24"/>
          <w:szCs w:val="24"/>
        </w:rPr>
      </w:pPr>
    </w:p>
    <w:p w:rsidR="00DC3128" w:rsidRDefault="00DC3128">
      <w:pPr>
        <w:jc w:val="both"/>
        <w:rPr>
          <w:rFonts w:ascii="SimSun" w:eastAsia="SimSun" w:hAnsi="SimSun" w:cs="SimSun"/>
          <w:sz w:val="24"/>
          <w:szCs w:val="24"/>
        </w:rPr>
      </w:pPr>
    </w:p>
    <w:p w:rsidR="00DC3128" w:rsidRDefault="00DC312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C3128" w:rsidRDefault="00A500D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КОМЕНТАРІ</w:t>
      </w:r>
    </w:p>
    <w:p w:rsidR="00DC3128" w:rsidRDefault="00DC312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DC3128" w:rsidRDefault="00A500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ОПП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Середня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освіта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німецька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))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”, ОС “Бакалавр”</w:t>
      </w:r>
    </w:p>
    <w:p w:rsidR="00DC3128" w:rsidRDefault="00A50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ЗК5 на два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окремих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пункти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тобто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здатність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способи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самостійного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опанування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розвитку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вмінь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зробити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окремим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пунктом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компетентностей.</w:t>
      </w:r>
    </w:p>
    <w:p w:rsidR="00DC3128" w:rsidRDefault="00A50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Зауважень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маю.</w:t>
      </w:r>
    </w:p>
    <w:p w:rsidR="00DC3128" w:rsidRDefault="00A50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пункті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3 «Характеристика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(с. 4)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після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«Предметна область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галузь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знань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спеціальність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спеціалізація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потріб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Академічні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права»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(див. с. 30). 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Доцільно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сучасну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термінологію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зокрема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здобувачі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вищо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замість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студент (с. 5, п. 5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»). 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пункту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(с. 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сформулювати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(див. с. 33). 4.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відокремити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обов’язкових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(див. с. 37). 5.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вищої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не 3,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зазначено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ОП,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(див. с. 37).</w:t>
      </w:r>
    </w:p>
    <w:p w:rsidR="00DC3128" w:rsidRDefault="00A500D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ОПП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Середня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освіта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іспанська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))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”, ОС “Бакалавр”</w:t>
      </w:r>
    </w:p>
    <w:p w:rsidR="00DC3128" w:rsidRDefault="00A50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Зауважень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немаю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3128" w:rsidRDefault="00A50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Раджу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деталізувати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процес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вибору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здобувачем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вказавши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окумент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зазначити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навички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засад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академічної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доброчесності</w:t>
      </w:r>
      <w:proofErr w:type="spellEnd"/>
    </w:p>
    <w:p w:rsidR="00DC3128" w:rsidRPr="00A500D5" w:rsidRDefault="00A50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Прошу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звернути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увагу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деякі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технічні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помилки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9-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сторінці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даної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вказано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керівник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проєктної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групи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Капелюшна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Тетяна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Вікторівна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тоді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3-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й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сторінці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Колісніченко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Ангеліна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Іванівна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сторінці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назві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освітньої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варто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замінити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слово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німецька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"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іспанська</w:t>
      </w:r>
      <w:proofErr w:type="spellEnd"/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</w:t>
      </w:r>
    </w:p>
    <w:p w:rsidR="00DC3128" w:rsidRDefault="00A50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1. В Розділі І, пункті 3 «Характеристика освітньої програми» (с. 4) в «Орієнтація освітньої програми» зазначено: «Освітньо-професійна програма для здобувачів другого рівня вищої освіти «бакалавр», а потрібно: «Освітньо-професійна програма для здобувачів пе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ршого рівня вищої освіти «бакалавр». 1. В Розділі І, пункті 3 «Характеристика освітньої програми» (с. 4) після «Предметна область (галузь знань, спеціальність, спеціалізація (за наявності)) потрібно додати «Академічні права» відповідно до додатку Положення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освітні програми в Уманському державному педагогічному університеті імені Павла Тичини (Нова редакція) (див. с. 30). 2. Доцільно використовувати сучасну термінологію, зокрема, «здобувачі вищої освіти» замість студент (с. 5, п. 5 «Викладання та оцінюва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ння» в «Викладання та навчання»).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пункту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(с. 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сформулювати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(див. с. 33). 5.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відокремити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обов’язкових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(див. с. 37). 6.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здобувачів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вищої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а не 3, як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зазначено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ОП,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(див. с. 37).</w:t>
      </w:r>
    </w:p>
    <w:p w:rsidR="00DC3128" w:rsidRDefault="00A500D5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ОПП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Середня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освіта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французька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))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”, ОС “Магістр”</w:t>
      </w:r>
    </w:p>
    <w:p w:rsidR="00DC3128" w:rsidRDefault="00A500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Поверніть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іспит</w:t>
      </w:r>
      <w:proofErr w:type="spellEnd"/>
    </w:p>
    <w:p w:rsidR="00DC3128" w:rsidRDefault="00A500D5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ОПП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Середня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освіта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))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”, ОС “Магістр”</w:t>
      </w:r>
    </w:p>
    <w:p w:rsidR="00DC3128" w:rsidRDefault="00A500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Кваліфікація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прописується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дипломі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випускник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вчитель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ЗАРУБІЖНОЇ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наказу МОН #1006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11 листопада 2022 року в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Переліку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предметних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спеціальностей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спеціальності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014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Середня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предметними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спеціальностями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)....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)" прописано: "014.2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Середня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ЗАРУБІЖ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ЛІТЕРАТУРА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зазначенням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))". Тому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необхідно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замінити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навчальної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яка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викладається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країн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вивчаються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 на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Зарубіжну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літературу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"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збільшити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кредитів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аудиторних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годин.</w:t>
      </w:r>
    </w:p>
    <w:p w:rsidR="00DC3128" w:rsidRDefault="00A500D5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ОПП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“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Середня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освіта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Мов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німецька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))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”, ОС “Магістр”</w:t>
      </w:r>
    </w:p>
    <w:p w:rsidR="00DC3128" w:rsidRDefault="00A500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Вважаю доцільним збільшити кількість практичних занять із першої (англійська) та другої (німецька) іноземних мов.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збільшити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тривалість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виробничих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практик. І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загальному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збільшити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дисциплін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C3128" w:rsidRDefault="00A500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Доволі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часто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своїй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професійній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діяльності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зіштовхуємось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 перекладом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різних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матеріалів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щороку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традиційно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нашого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факультету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виступають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перекладачів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паломників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га-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Шана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Тому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доцільною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пропозиція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план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дисципліни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стосуються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перекладу.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дозволить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майбутнім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випускникам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отримати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більше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професійних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C3128" w:rsidRDefault="00A500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Я студентка факультету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двома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заочному та очному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відділеннях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року форма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вигляд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написання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випускної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кваліфікаційної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Для того,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написати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цю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роботу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успішно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потрібно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докласти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багато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зусиль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часу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опрацювати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багато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інфо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рмації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сьогоднішніх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реаліях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виконати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вид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досить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важко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тому я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студенти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які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навчаються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двома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хотіли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запропонувати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внести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державної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замість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державних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іспитів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комплексний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квалі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фікаційний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іспит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надати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обирати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форму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випускної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атестації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іспиту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написання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випускної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кваліфікаційної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C3128" w:rsidRDefault="00A500D5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ОПП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“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Філологія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Германські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(переклад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включно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), перша –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”, ОС “Магістр”</w:t>
      </w:r>
    </w:p>
    <w:p w:rsidR="00DC3128" w:rsidRDefault="00A500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В Розділі І, 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 3 «Характеристика освітньої програми» (с. 4) після «Предметна область (галузь знань, спеціальність, спеціалізація (за наявності)) потрібно додати «Академічні права» відповідно до додатку Положення про освітні програми в Уманському державному педагог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ічному університеті імені Павла Тичини (Нова редакція) (див. с. 30). 2. Доцільно використовувати сучасну термінологію, зокрема, «здобувачі вищої освіти» замість студент (с. 5, п. 5 «Викладання та оцінювання» в «Викладання та навчання»). 3. Формою 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атестації</w:t>
      </w:r>
      <w:r w:rsidRPr="00A50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здобувачів ОС «магістр» за ОП, що обговорюється, є лише захист випускної кваліфікаційної роботи.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с. 6, п. 5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 в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Оцінювання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вказано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комплексний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випускний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екзамен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 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Назву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пункту 7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(с. 7)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сформулювати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) (див. с. 33). 5.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розділі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Опис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відокремити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компетентності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обов’язкових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компонентів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практичної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додатку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Уманському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державному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педагогічному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університеті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імені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Павла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Тичини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 (див. с. 37).</w:t>
      </w:r>
    </w:p>
    <w:p w:rsidR="00DC3128" w:rsidRDefault="00A500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Зауважень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пропозицій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не маю.</w:t>
      </w:r>
    </w:p>
    <w:p w:rsidR="00DC3128" w:rsidRDefault="00DC312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C3128" w:rsidRDefault="00DC3128">
      <w:pPr>
        <w:jc w:val="both"/>
        <w:rPr>
          <w:rFonts w:ascii="SimSun" w:eastAsia="SimSun" w:hAnsi="SimSun" w:cs="SimSun"/>
          <w:sz w:val="24"/>
          <w:szCs w:val="24"/>
          <w:lang w:val="uk-UA"/>
        </w:rPr>
      </w:pPr>
    </w:p>
    <w:sectPr w:rsidR="00DC3128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529F"/>
    <w:multiLevelType w:val="multilevel"/>
    <w:tmpl w:val="0BD6529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42E6"/>
    <w:multiLevelType w:val="multilevel"/>
    <w:tmpl w:val="200D42E6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43A2"/>
    <w:multiLevelType w:val="multilevel"/>
    <w:tmpl w:val="42CC4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3F71"/>
    <w:multiLevelType w:val="multilevel"/>
    <w:tmpl w:val="55FB3F71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00F1E"/>
    <w:multiLevelType w:val="multilevel"/>
    <w:tmpl w:val="57300F1E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30F08"/>
    <w:multiLevelType w:val="multilevel"/>
    <w:tmpl w:val="5DA30F08"/>
    <w:lvl w:ilvl="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28"/>
    <w:rsid w:val="00A500D5"/>
    <w:rsid w:val="00DC3128"/>
    <w:rsid w:val="02E12026"/>
    <w:rsid w:val="2739152F"/>
    <w:rsid w:val="50B77DA4"/>
    <w:rsid w:val="6A5D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8000743-735A-489E-9205-3EC881BE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ninochka</dc:creator>
  <cp:lastModifiedBy>admin</cp:lastModifiedBy>
  <cp:revision>3</cp:revision>
  <dcterms:created xsi:type="dcterms:W3CDTF">2023-02-07T12:33:00Z</dcterms:created>
  <dcterms:modified xsi:type="dcterms:W3CDTF">2023-02-09T07:35:00Z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7E54D2DA4ED04F73BD2E2B7F0E5B9542</vt:lpwstr>
  </property>
</Properties>
</file>